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96C308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建信理财嘉鑫（稳利）法人版固收类按日开放式产品第14期净值公告JXJXARGS241023014</w:t>
      </w:r>
    </w:p>
    <w:p w14:paraId="6E60F99C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70DFFC3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E3929C4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建信理财嘉鑫（稳利）法人版固收类按日开放式产品第14期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JXJXARGS241023014)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C82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C613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EEF1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B706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AAFD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2AA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1DE9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539F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2CBE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C3C6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254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3A61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1.018724</w:t>
            </w:r>
          </w:p>
        </w:tc>
      </w:tr>
      <w:tr w14:paraId="0B1F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611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D856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E0247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66B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25FE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1.018687</w:t>
            </w:r>
          </w:p>
        </w:tc>
      </w:tr>
      <w:tr w14:paraId="1984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EA1A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F6B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2CD3E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ADA7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65E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1.018649</w:t>
            </w:r>
          </w:p>
        </w:tc>
      </w:tr>
      <w:tr w14:paraId="671C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471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D9C4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D88E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E39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9DB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786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CB94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CBE8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0D86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003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EF08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D57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CA4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4458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D4AE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376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E06D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1.018538</w:t>
            </w:r>
          </w:p>
        </w:tc>
      </w:tr>
      <w:tr w14:paraId="4913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7313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92CB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174AE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C6AE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014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1.018501</w:t>
            </w:r>
          </w:p>
        </w:tc>
      </w:tr>
      <w:tr w14:paraId="4A86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BFD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330D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97DF2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9C57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99A6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1.018457</w:t>
            </w:r>
          </w:p>
        </w:tc>
      </w:tr>
      <w:tr w14:paraId="6218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552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9ED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ACC01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518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99D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1.018415</w:t>
            </w:r>
          </w:p>
        </w:tc>
      </w:tr>
      <w:tr w14:paraId="249C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E7F1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812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47F9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7BB3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E7D2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1.018373</w:t>
            </w:r>
          </w:p>
        </w:tc>
      </w:tr>
      <w:tr w14:paraId="2256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817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628F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98CE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6A1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E67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C46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CF6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2025年03月07日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CCF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A70B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DC4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2C54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08D94667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406FA27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E06A30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1666FD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35D49D9E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16FB3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43C79651826749E7991A19C8F859B9E1_13</vt:lpwstr>
  </property>
</Properties>
</file>