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25754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1"/>
          <w:lang w:eastAsia="zh-CN"/>
        </w:rPr>
        <w:t>建信理财嘉鑫（稳利）固收类封闭式产品2026年第193期发行公告JXJXFBGS260609193</w:t>
      </w:r>
    </w:p>
    <w:p w14:paraId="50461EAE">
      <w:pPr>
        <w:pStyle w:val="9"/>
        <w:tabs>
          <w:tab w:val="left" w:pos="720"/>
        </w:tabs>
        <w:spacing w:before="0" w:beforeAutospacing="0" w:after="120" w:afterAutospacing="0" w:line="480" w:lineRule="exact"/>
        <w:ind w:left="0" w:leftChars="0" w:right="0"/>
        <w:jc w:val="center"/>
        <w:rPr>
          <w:rFonts w:hint="eastAsia" w:ascii="宋体" w:hAnsi="宋体" w:eastAsia="宋体" w:cs="宋体"/>
          <w:b/>
          <w:bCs w:val="0"/>
          <w:color w:val="000000"/>
          <w:sz w:val="24"/>
          <w:szCs w:val="21"/>
          <w:lang w:val="en-US"/>
        </w:rPr>
      </w:pPr>
    </w:p>
    <w:p w14:paraId="4A70211B">
      <w:pPr>
        <w:keepNext w:val="0"/>
        <w:keepLines w:val="0"/>
        <w:widowControl/>
        <w:suppressLineNumbers w:val="0"/>
        <w:spacing w:line="460" w:lineRule="atLeast"/>
        <w:jc w:val="lef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尊敬的客户</w:t>
      </w:r>
      <w:r>
        <w:rPr>
          <w:rFonts w:hint="eastAsia" w:ascii="宋体" w:hAnsi="宋体" w:eastAsia="宋体" w:cs="Arial"/>
          <w:color w:val="000000"/>
          <w:kern w:val="0"/>
          <w:szCs w:val="21"/>
          <w:lang w:eastAsia="zh-CN"/>
        </w:rPr>
        <w:t>：</w:t>
      </w:r>
    </w:p>
    <w:p w14:paraId="501446AF">
      <w:pPr>
        <w:keepNext w:val="0"/>
        <w:keepLines w:val="0"/>
        <w:widowControl/>
        <w:suppressLineNumbers w:val="0"/>
        <w:spacing w:after="280" w:afterLines="90" w:afterAutospacing="0" w:line="460" w:lineRule="atLeast"/>
        <w:ind w:left="0" w:firstLine="420"/>
        <w:jc w:val="lef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Cs w:val="21"/>
          <w:lang w:eastAsia="zh-CN"/>
        </w:rPr>
        <w:t>根据与投资者的约定，现将理财产品发行情况信息进行披露</w:t>
      </w:r>
      <w:r>
        <w:rPr>
          <w:rFonts w:hint="eastAsia" w:ascii="宋体" w:hAnsi="宋体" w:eastAsia="宋体" w:cs="Arial"/>
          <w:color w:val="000000"/>
          <w:kern w:val="0"/>
          <w:szCs w:val="21"/>
          <w:lang w:val="en-US"/>
        </w:rPr>
        <w:t>: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2062"/>
        <w:gridCol w:w="1777"/>
        <w:gridCol w:w="1228"/>
        <w:gridCol w:w="1230"/>
        <w:gridCol w:w="1090"/>
        <w:gridCol w:w="1368"/>
        <w:gridCol w:w="1648"/>
      </w:tblGrid>
      <w:tr w14:paraId="5D79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A00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产品名称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569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产品代码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07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300" w:leftChars="-143" w:firstLine="350" w:firstLineChars="166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登记编码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E78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产品募集起始日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D39B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产品募集结束日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FB4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产品成立日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C7E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产品到期日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A1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募集规模</w:t>
            </w:r>
          </w:p>
        </w:tc>
      </w:tr>
      <w:tr w14:paraId="06A2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203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建信理财嘉鑫（稳利）固收类封闭式产品2026年第193期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7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  <w:t>JXJXFBGS260609193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1C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Z7000726001600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DA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2026/07/09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BBD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2026/07/14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19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2026/07/15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19BD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2027/01/07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698,124,465.00</w:t>
            </w:r>
          </w:p>
        </w:tc>
      </w:tr>
    </w:tbl>
    <w:p w14:paraId="6B72EC56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到期收益分配详见产品说明书。</w:t>
      </w:r>
    </w:p>
    <w:p w14:paraId="40D8B6BF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理财产品管理人：建信理财有限责任公司</w:t>
      </w:r>
    </w:p>
    <w:p w14:paraId="253A533A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理财产品托管人：</w:t>
      </w:r>
      <w:r>
        <w:rPr>
          <w:rFonts w:hint="eastAsia" w:ascii="宋体" w:hAnsi="宋体" w:eastAsia="宋体" w:cs="宋体"/>
          <w:color w:val="000000"/>
          <w:lang w:eastAsia="zh-CN"/>
        </w:rPr>
        <w:t>中国建设银行股份有限公司重庆市分行</w:t>
      </w:r>
    </w:p>
    <w:p w14:paraId="01737854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截至目前，上述产品已经成立，运营状况正常。</w:t>
      </w:r>
    </w:p>
    <w:p w14:paraId="081C5C6F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特此公告。</w:t>
      </w:r>
    </w:p>
    <w:p w14:paraId="3AD1381C">
      <w:pPr>
        <w:keepNext w:val="0"/>
        <w:keepLines w:val="0"/>
        <w:widowControl/>
        <w:suppressLineNumbers w:val="0"/>
        <w:tabs>
          <w:tab w:val="left" w:pos="5370"/>
        </w:tabs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Cs w:val="21"/>
          <w:lang w:eastAsia="zh-CN"/>
        </w:rPr>
        <w:t>建信理财有限责任公司</w:t>
      </w:r>
    </w:p>
    <w:p w14:paraId="2C7D66E3">
      <w:pPr>
        <w:keepNext w:val="0"/>
        <w:keepLines w:val="0"/>
        <w:widowControl/>
        <w:suppressLineNumbers w:val="0"/>
        <w:tabs>
          <w:tab w:val="left" w:pos="5370"/>
        </w:tabs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szCs w:val="21"/>
          <w:lang w:val="en-US"/>
        </w:rPr>
        <w:t>2026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Cs w:val="21"/>
          <w:lang w:val="en-US"/>
        </w:rPr>
        <w:t>07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Cs w:val="21"/>
          <w:lang w:val="en-US"/>
        </w:rPr>
        <w:t>15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122F1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7">
    <w:name w:val="Default Paragraph Font"/>
    <w:semiHidden/>
    <w:unhideWhenUsed/>
    <w:uiPriority w:val="99"/>
  </w:style>
  <w:style w:type="table" w:default="1" w:styleId="1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9">
    <w:name w:val="Body Text Indent"/>
    <w:basedOn w:val="1"/>
    <w:link w:val="2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Calibri" w:hAnsi="Calibri" w:eastAsia="宋体" w:cs="Times New Roman"/>
      <w:kern w:val="0"/>
      <w:sz w:val="20"/>
      <w:szCs w:val="24"/>
      <w:lang w:val="en-US" w:eastAsia="zh-CN" w:bidi="ar"/>
    </w:rPr>
  </w:style>
  <w:style w:type="paragraph" w:styleId="10">
    <w:name w:val="Balloon Text"/>
    <w:basedOn w:val="1"/>
    <w:link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footer"/>
    <w:basedOn w:val="1"/>
    <w:link w:val="22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2">
    <w:name w:val="header"/>
    <w:basedOn w:val="1"/>
    <w:link w:val="24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3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annotation subject"/>
    <w:basedOn w:val="8"/>
    <w:next w:val="8"/>
    <w:link w:val="20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b/>
      <w:bCs/>
      <w:kern w:val="2"/>
      <w:sz w:val="21"/>
      <w:szCs w:val="22"/>
      <w:lang w:val="en-US" w:eastAsia="zh-CN" w:bidi="ar"/>
    </w:rPr>
  </w:style>
  <w:style w:type="character" w:styleId="18">
    <w:name w:val="annotation reference"/>
    <w:basedOn w:val="17"/>
    <w:semiHidden/>
    <w:unhideWhenUsed/>
    <w:uiPriority w:val="99"/>
    <w:rPr>
      <w:sz w:val="21"/>
      <w:szCs w:val="21"/>
    </w:rPr>
  </w:style>
  <w:style w:type="character" w:customStyle="1" w:styleId="19">
    <w:name w:val="批注框文本 Char"/>
    <w:basedOn w:val="17"/>
    <w:link w:val="10"/>
    <w:locked/>
    <w:uiPriority w:val="0"/>
    <w:rPr>
      <w:kern w:val="2"/>
      <w:sz w:val="18"/>
      <w:szCs w:val="18"/>
    </w:rPr>
  </w:style>
  <w:style w:type="character" w:customStyle="1" w:styleId="20">
    <w:name w:val="批注主题 Char"/>
    <w:basedOn w:val="21"/>
    <w:link w:val="15"/>
    <w:locked/>
    <w:uiPriority w:val="0"/>
    <w:rPr>
      <w:rFonts w:hint="default" w:ascii="Calibri" w:hAnsi="Calibri" w:eastAsia="宋体" w:cs="Times New Roman"/>
      <w:b/>
      <w:bCs/>
      <w:kern w:val="2"/>
      <w:sz w:val="21"/>
      <w:szCs w:val="22"/>
    </w:rPr>
  </w:style>
  <w:style w:type="character" w:customStyle="1" w:styleId="21">
    <w:name w:val="批注文字 Char"/>
    <w:basedOn w:val="17"/>
    <w:link w:val="8"/>
    <w:locked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2">
    <w:name w:val="页脚 Char"/>
    <w:basedOn w:val="17"/>
    <w:link w:val="11"/>
    <w:locked/>
    <w:uiPriority w:val="0"/>
    <w:rPr>
      <w:sz w:val="18"/>
      <w:szCs w:val="18"/>
    </w:rPr>
  </w:style>
  <w:style w:type="character" w:customStyle="1" w:styleId="23">
    <w:name w:val="正文文本缩进 Char"/>
    <w:basedOn w:val="17"/>
    <w:link w:val="9"/>
    <w:locked/>
    <w:uiPriority w:val="0"/>
    <w:rPr>
      <w:rFonts w:hint="default" w:ascii="Calibri" w:hAnsi="Calibri" w:eastAsia="宋体" w:cs="Times New Roman"/>
      <w:szCs w:val="24"/>
    </w:rPr>
  </w:style>
  <w:style w:type="character" w:customStyle="1" w:styleId="24">
    <w:name w:val="页眉 Char"/>
    <w:basedOn w:val="17"/>
    <w:link w:val="12"/>
    <w:locked/>
    <w:uiPriority w:val="0"/>
    <w:rPr>
      <w:sz w:val="18"/>
      <w:szCs w:val="18"/>
    </w:rPr>
  </w:style>
  <w:style w:type="character" w:customStyle="1" w:styleId="25">
    <w:name w:val="im-content1"/>
    <w:basedOn w:val="17"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6AEB8FDC</Template>
  <Pages>1</Pages>
  <Words>54</Words>
  <Characters>313</Characters>
  <Lines>2</Lines>
  <Paragraphs>1</Paragraphs>
  <TotalTime>46218.5937500002</TotalTime>
  <ScaleCrop>false</ScaleCrop>
  <LinksUpToDate>false</LinksUpToDate>
  <CharactersWithSpaces>366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jxlc</cp:lastModifiedBy>
  <dcterms:modified xsi:type="dcterms:W3CDTF">2026-07-15T06:23:23Z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6B80A034B5C24AD6BDC5F5CD9805A6FC_13</vt:lpwstr>
  </property>
</Properties>
</file>