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1C0504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建信理财嘉鑫（增利）固收类最低持有90天产品第17期净值公告JXJXZDCY901229017</w:t>
      </w:r>
    </w:p>
    <w:p w14:paraId="4E04BE4D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2447D1C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81FB25C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建信理财嘉鑫（增利）固收类最低持有90天产品第17期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JXJXZDCY901229017)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28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B3D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CFF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C709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44A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B4A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624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D44B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7934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E39F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E50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1910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1.008141</w:t>
            </w:r>
          </w:p>
        </w:tc>
      </w:tr>
      <w:tr w14:paraId="5196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75AF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2AB8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34AFD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EE5C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3A30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555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FBB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01277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E7D4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712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11C0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C2A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868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2E0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CF80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2B4E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307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1.008058</w:t>
            </w:r>
          </w:p>
        </w:tc>
      </w:tr>
      <w:tr w14:paraId="4AD9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258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BBD3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53B3E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5C6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467E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1.008029</w:t>
            </w:r>
          </w:p>
        </w:tc>
      </w:tr>
      <w:tr w14:paraId="2F68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CBAB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ED6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9489B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4AA4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E019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1.008001</w:t>
            </w:r>
          </w:p>
        </w:tc>
      </w:tr>
      <w:tr w14:paraId="512F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8F79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916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52CC6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C4C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E3E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1.007934</w:t>
            </w:r>
          </w:p>
        </w:tc>
      </w:tr>
      <w:tr w14:paraId="5575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2F5F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95F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49ABE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C9C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925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1.007904</w:t>
            </w:r>
          </w:p>
        </w:tc>
      </w:tr>
      <w:tr w14:paraId="600B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3BF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CE2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11208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8BEA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A45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3DC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67E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EC24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1.007770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92B9A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1.007770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43B1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DC5B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ED0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6F0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5D6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4979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A6C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AEE0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C63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70A8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2026年02月25日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6A5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B5162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915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78A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6E8A8325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31F89A3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8836AE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924ACE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00894A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D320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46217.4375000001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2026-07-14T03:06:32Z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9A7820DD939043AF8D9127F822D6EB5D_13</vt:lpwstr>
  </property>
</Properties>
</file>