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DB835F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建信理财睿鑫（优选灵活配置）固收类最低持有180天产品第4期A类份额净值公告JXRX6MGS25111204A</w:t>
      </w:r>
    </w:p>
    <w:p w14:paraId="39BD93A5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3FCBFAD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48D78CF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建信理财睿鑫（优选灵活配置）固收类最低持有180天产品第4期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JXRX6MGS25111204A)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94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722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894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2BA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67A6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AA34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3D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334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550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68BC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E45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FA0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223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2BB3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666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4681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51A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056C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E5C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3AE2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728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23E9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A74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676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1.015545</w:t>
            </w:r>
          </w:p>
        </w:tc>
      </w:tr>
      <w:tr w14:paraId="547A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DDE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AB2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070AA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407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8FC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1.015507</w:t>
            </w:r>
          </w:p>
        </w:tc>
      </w:tr>
      <w:tr w14:paraId="06F5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390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C81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F542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861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A08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1.015534</w:t>
            </w:r>
          </w:p>
        </w:tc>
      </w:tr>
      <w:tr w14:paraId="276B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AE5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BEC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76CD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DC0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9CA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1.015528</w:t>
            </w:r>
          </w:p>
        </w:tc>
      </w:tr>
      <w:tr w14:paraId="3389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3F9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CF1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166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499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A05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1.015456</w:t>
            </w:r>
          </w:p>
        </w:tc>
      </w:tr>
      <w:tr w14:paraId="652F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510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529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EDB6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198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831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B2D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C4D1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E26E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0388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F81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34E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490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92C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5B03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7AAF1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36B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D43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1.015391</w:t>
            </w:r>
          </w:p>
        </w:tc>
      </w:tr>
      <w:tr w14:paraId="5E58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1A5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803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E9CC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E17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79F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75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161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8699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F180B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42E9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077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79CD092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20DFE5D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B456C2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A54F56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5DBC1AF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84D6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2026-07-13T01:12:19Z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646CBC9A03794B39BB7643D33825AD84_13</vt:lpwstr>
  </property>
</Properties>
</file>